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1B4332"/>
          <w:sz w:val="52"/>
          <w:szCs w:val="52"/>
        </w:rPr>
        <w:t xml:space="preserve">SAGE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0D1F16"/>
          <w:sz w:val="32"/>
          <w:szCs w:val="32"/>
        </w:rPr>
        <w:t xml:space="preserve">Assessment Rubric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6B7A72"/>
          <w:sz w:val="20"/>
          <w:szCs w:val="20"/>
        </w:rPr>
        <w:t xml:space="preserve">Unit:</w:t>
      </w:r>
      <w:r>
        <w:rPr>
          <w:rFonts w:ascii="Arial" w:cs="Arial" w:eastAsia="Arial" w:hAnsi="Arial"/>
          <w:color w:val="6B7A72"/>
          <w:sz w:val="20"/>
          <w:szCs w:val="20"/>
        </w:rPr>
        <w:t xml:space="preserve">  ___________________________________     </w:t>
      </w:r>
      <w:r>
        <w:rPr>
          <w:rFonts w:ascii="Arial" w:cs="Arial" w:eastAsia="Arial" w:hAnsi="Arial"/>
          <w:b/>
          <w:bCs/>
          <w:color w:val="6B7A72"/>
          <w:sz w:val="20"/>
          <w:szCs w:val="20"/>
        </w:rPr>
        <w:t xml:space="preserve">Task:</w:t>
      </w:r>
      <w:r>
        <w:rPr>
          <w:rFonts w:ascii="Arial" w:cs="Arial" w:eastAsia="Arial" w:hAnsi="Arial"/>
          <w:color w:val="6B7A72"/>
          <w:sz w:val="20"/>
          <w:szCs w:val="20"/>
        </w:rPr>
        <w:t xml:space="preserve">  ___________________________________     </w:t>
      </w:r>
      <w:r>
        <w:rPr>
          <w:rFonts w:ascii="Arial" w:cs="Arial" w:eastAsia="Arial" w:hAnsi="Arial"/>
          <w:b/>
          <w:bCs/>
          <w:color w:val="6B7A72"/>
          <w:sz w:val="20"/>
          <w:szCs w:val="20"/>
        </w:rPr>
        <w:t xml:space="preserve">Total marks:</w:t>
      </w:r>
      <w:r>
        <w:rPr>
          <w:rFonts w:ascii="Arial" w:cs="Arial" w:eastAsia="Arial" w:hAnsi="Arial"/>
          <w:color w:val="6B7A72"/>
          <w:sz w:val="20"/>
          <w:szCs w:val="20"/>
        </w:rPr>
        <w:t xml:space="preserve">  ___________</w:t>
      </w:r>
    </w:p>
    <w:p>
      <w:pPr>
        <w:pBdr>
          <w:bottom w:val="single" w:color="40916C" w:sz="6"/>
        </w:pBdr>
        <w:spacing w:after="60" w:before="60"/>
      </w:pP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0"/>
        <w:gridCol w:w="600"/>
        <w:gridCol w:w="1850"/>
        <w:gridCol w:w="1850"/>
        <w:gridCol w:w="1850"/>
        <w:gridCol w:w="1850"/>
      </w:tblGrid>
      <w:tr>
        <w:tc>
          <w:tcPr>
            <w:tcW w:type="dxa" w:w="13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1B4332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Criterion</w:t>
            </w:r>
          </w:p>
        </w:tc>
        <w:tc>
          <w:tcPr>
            <w:tcW w:type="dxa" w:w="60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1B4332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Weight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22763C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Excellent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2D6A4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Good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8B6914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Satisfactory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8B2020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Unsatisfactory</w:t>
            </w:r>
          </w:p>
        </w:tc>
      </w:tr>
      <w:tr>
        <w:tc>
          <w:tcPr>
            <w:tcW w:type="dxa" w:w="13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EEF6F1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4332"/>
                <w:sz w:val="20"/>
                <w:szCs w:val="20"/>
              </w:rPr>
              <w:t xml:space="preserve">Justification quality
&amp; evidence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40916C"/>
                <w:sz w:val="17"/>
                <w:szCs w:val="17"/>
              </w:rPr>
              <w:t xml:space="preserve">25–30%</w:t>
            </w:r>
          </w:p>
        </w:tc>
        <w:tc>
          <w:tcPr>
            <w:tcW w:type="dxa" w:w="60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EEF6F1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916C"/>
                <w:sz w:val="18"/>
                <w:szCs w:val="18"/>
              </w:rPr>
              <w:t xml:space="preserve">25–30%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0FBF5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Justifications consistently cite specific standards, regulations, or peer-reviewed sources by name. Reasoning is precise and directly addresses the anchor. Modifications are traceable to specific evidence.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5FAF7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Justifications cite relevant sources in most decisions. Reasoning is clear and connected to the task context, with occasional gaps in specificity.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DF5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Justifications reference general principles or unit materials but lack specific citations. Reasoning is present but surface-level.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8F8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Justifications are absent, generic ("AI was incomplete"), or unrelated to the task anchors. No evidence of evidence-based reasoning.</w:t>
            </w:r>
          </w:p>
        </w:tc>
      </w:tr>
      <w:tr>
        <w:tc>
          <w:tcPr>
            <w:tcW w:type="dxa" w:w="13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4332"/>
                <w:sz w:val="20"/>
                <w:szCs w:val="20"/>
              </w:rPr>
              <w:t xml:space="preserve">Gap and error
detection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40916C"/>
                <w:sz w:val="17"/>
                <w:szCs w:val="17"/>
              </w:rPr>
              <w:t xml:space="preserve">20–25%</w:t>
            </w:r>
          </w:p>
        </w:tc>
        <w:tc>
          <w:tcPr>
            <w:tcW w:type="dxa" w:w="60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916C"/>
                <w:sz w:val="18"/>
                <w:szCs w:val="18"/>
              </w:rPr>
              <w:t xml:space="preserve">20–25%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Identifies AI errors and omissions that require disciplinary knowledge to detect — missing regulatory requirements, context-specific constraints, boundary cases, or exceptions. Rejects AI advice with precise reasoning.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Identifies most significant AI gaps. Some boundary cases or exceptions may be missed. Rejection decisions are generally appropriate.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Identifies surface-level gaps (missing information) but misses deeper disciplinary errors. Acceptance rate is high with limited critical discrimination.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Accepts the majority of AI output without meaningful critique. Gap detection is absent or trivially superficial.</w:t>
            </w:r>
          </w:p>
        </w:tc>
      </w:tr>
      <w:tr>
        <w:tc>
          <w:tcPr>
            <w:tcW w:type="dxa" w:w="13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EEF6F1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4332"/>
                <w:sz w:val="20"/>
                <w:szCs w:val="20"/>
              </w:rPr>
              <w:t xml:space="preserve">Contextual
reasoning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40916C"/>
                <w:sz w:val="17"/>
                <w:szCs w:val="17"/>
              </w:rPr>
              <w:t xml:space="preserve">15–20%</w:t>
            </w:r>
          </w:p>
        </w:tc>
        <w:tc>
          <w:tcPr>
            <w:tcW w:type="dxa" w:w="60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EEF6F1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916C"/>
                <w:sz w:val="18"/>
                <w:szCs w:val="18"/>
              </w:rPr>
              <w:t xml:space="preserve">15–20%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0FBF5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Demonstrates consistent ability to override AI based on stakeholder context, environmental constraints, or discipline-specific requirements the AI could not know. Contextual justifications are precise.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5FAF7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Shows contextual awareness in most decisions. Occasionally applies generic reasoning where context-specific reasoning was needed.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DF5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Some contextual adjustments are made but they are inconsistent or not fully justified in relation to the specific task context.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8F8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Applies AI output without adjustment to the specific context. No evidence that contextual factors were considered.</w:t>
            </w:r>
          </w:p>
        </w:tc>
      </w:tr>
      <w:tr>
        <w:tc>
          <w:tcPr>
            <w:tcW w:type="dxa" w:w="13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4332"/>
                <w:sz w:val="20"/>
                <w:szCs w:val="20"/>
              </w:rPr>
              <w:t xml:space="preserve">Standards
mapping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40916C"/>
                <w:sz w:val="17"/>
                <w:szCs w:val="17"/>
              </w:rPr>
              <w:t xml:space="preserve">15–20%</w:t>
            </w:r>
          </w:p>
        </w:tc>
        <w:tc>
          <w:tcPr>
            <w:tcW w:type="dxa" w:w="60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916C"/>
                <w:sz w:val="18"/>
                <w:szCs w:val="18"/>
              </w:rPr>
              <w:t xml:space="preserve">15–20%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Accurately maps AI output to named standards, frameworks, or professional codes relevant to the discipline. Identifies specific clauses, controls, or requirements where applicable.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Maps to relevant standards in most decisions. Mapping is accurate but may lack specificity at the clause or control level.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References the existence of relevant standards but does not demonstrate precise alignment. Mapping is approximate.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No reference to standards or frameworks, or references are incorrect and not relevant to the task context.</w:t>
            </w:r>
          </w:p>
        </w:tc>
      </w:tr>
      <w:tr>
        <w:tc>
          <w:tcPr>
            <w:tcW w:type="dxa" w:w="13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EEF6F1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4332"/>
                <w:sz w:val="20"/>
                <w:szCs w:val="20"/>
              </w:rPr>
              <w:t xml:space="preserve">Metacognitive
reflection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40916C"/>
                <w:sz w:val="17"/>
                <w:szCs w:val="17"/>
              </w:rPr>
              <w:t xml:space="preserve">10–15%</w:t>
            </w:r>
          </w:p>
        </w:tc>
        <w:tc>
          <w:tcPr>
            <w:tcW w:type="dxa" w:w="60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EEF6F1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916C"/>
                <w:sz w:val="18"/>
                <w:szCs w:val="18"/>
              </w:rPr>
              <w:t xml:space="preserve">10–15%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0FBF5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Reflection articulates specific patterns of AI strength and failure observed during the task. Identifies transferable anchoring judgements applicable to professional practice beyond this assessment.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5FAF7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Reflection identifies AI limitations with reasonable specificity. Some connection to professional practice is made.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DF5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Reflection describes the process but does not critically evaluate AI performance. Focus is on workflow convenience rather than AI limitations.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8F8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Reflection is absent, generic, or focuses on task completion rather than learning about AI capabilities and disciplinary standards.</w:t>
            </w:r>
          </w:p>
        </w:tc>
      </w:tr>
      <w:tr>
        <w:tc>
          <w:tcPr>
            <w:tcW w:type="dxa" w:w="136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4332"/>
                <w:sz w:val="20"/>
                <w:szCs w:val="20"/>
              </w:rPr>
              <w:t xml:space="preserve">Output quality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40916C"/>
                <w:sz w:val="17"/>
                <w:szCs w:val="17"/>
              </w:rPr>
              <w:t xml:space="preserve">10–15%</w:t>
            </w:r>
          </w:p>
        </w:tc>
        <w:tc>
          <w:tcPr>
            <w:tcW w:type="dxa" w:w="60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40916C"/>
                <w:sz w:val="18"/>
                <w:szCs w:val="18"/>
              </w:rPr>
              <w:t xml:space="preserve">10–15%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Final output is professionally presented, complete, and accurate. Could be used in the relevant professional or academic context.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Output is mostly complete and accurate with minor gaps or presentation issues.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Output is adequate but incomplete or contains errors that require correction.</w:t>
            </w:r>
          </w:p>
        </w:tc>
        <w:tc>
          <w:tcPr>
            <w:tcW w:type="dxa" w:w="1850"/>
            <w:tcBorders>
              <w:top w:val="single" w:color="DDE5E0" w:sz="4"/>
              <w:left w:val="single" w:color="DDE5E0" w:sz="4"/>
              <w:bottom w:val="single" w:color="DDE5E0" w:sz="4"/>
              <w:right w:val="single" w:color="DDE5E0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>Output is significantly incomplete, inaccurate, or not appropriate for the professional or academic context.</w:t>
            </w:r>
          </w:p>
        </w:tc>
      </w:tr>
    </w:tbl>
    <w:p>
      <w:pPr>
        <w:spacing w:after="80" w:before="0"/>
      </w:pPr>
    </w:p>
    <w:p>
      <w:pPr>
        <w:spacing w:after="0" w:before="0"/>
      </w:pPr>
      <w:r>
        <w:rPr>
          <w:rFonts w:ascii="Arial" w:cs="Arial" w:eastAsia="Arial" w:hAnsi="Arial"/>
          <w:b/>
          <w:bCs/>
          <w:color w:val="1B4332"/>
          <w:sz w:val="17"/>
          <w:szCs w:val="17"/>
        </w:rPr>
        <w:t xml:space="preserve">Key principle: 70–85% of marks assess thinking and reasoning (the process). Only 10–15% assess output quality (the product AI can produce).     </w:t>
      </w:r>
      <w:r>
        <w:rPr>
          <w:rFonts w:ascii="Arial" w:cs="Arial" w:eastAsia="Arial" w:hAnsi="Arial"/>
          <w:color w:val="6B7A72"/>
          <w:sz w:val="17"/>
          <w:szCs w:val="17"/>
        </w:rPr>
        <w:t xml:space="preserve">Elkhodr, M. &amp; Gide, E. (2026). SAGE Framework. CC BY 4.0. sage-framework.com</w:t>
      </w:r>
    </w:p>
    <w:sectPr>
      <w:footerReference w:type="default" r:id="rId7"/>
      <w:pgSz w:w="16838" w:h="11906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E5E0" w:sz="4"/>
      </w:pBdr>
      <w:spacing w:after="0" w:before="100"/>
      <w:jc w:val="right"/>
    </w:pPr>
    <w:r>
      <w:rPr>
        <w:rFonts w:ascii="Arial" w:cs="Arial" w:eastAsia="Arial" w:hAnsi="Arial"/>
        <w:color w:val="6B7A72"/>
        <w:sz w:val="16"/>
        <w:szCs w:val="16"/>
      </w:rPr>
      <w:t xml:space="preserve">SAGE Assessment Rubric — sage-framework.com — CC BY 4.0      </w:t>
    </w:r>
    <w:r>
      <w:rPr>
        <w:rFonts w:ascii="Arial" w:cs="Arial" w:eastAsia="Arial" w:hAnsi="Arial"/>
        <w:color w:val="6B7A72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7415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2026-03-27T08:34:12.821Z</dcterms:created>
  <dcterms:modified xsi:type="dcterms:W3CDTF">2026-03-27T08:34:12.821Z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